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right" w:leader="none" w:pos="9639"/>
        </w:tabs>
        <w:spacing w:after="0" w:lineRule="auto"/>
        <w:ind w:hanging="2"/>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3GPP TSG-SA3 Meeting #115-Adhoc-</w:t>
      </w:r>
      <w:r w:rsidDel="00000000" w:rsidR="00000000" w:rsidRPr="00000000">
        <w:rPr>
          <w:rFonts w:ascii="Arial" w:cs="Arial" w:eastAsia="Arial" w:hAnsi="Arial"/>
          <w:b w:val="1"/>
          <w:sz w:val="24"/>
          <w:szCs w:val="24"/>
          <w:rtl w:val="0"/>
        </w:rPr>
        <w:t xml:space="preserve">e</w:t>
      </w:r>
      <w:r w:rsidDel="00000000" w:rsidR="00000000" w:rsidRPr="00000000">
        <w:rPr>
          <w:rFonts w:ascii="Arial" w:cs="Arial" w:eastAsia="Arial" w:hAnsi="Arial"/>
          <w:b w:val="1"/>
          <w:i w:val="1"/>
          <w:color w:val="000000"/>
          <w:sz w:val="28"/>
          <w:szCs w:val="28"/>
          <w:rtl w:val="0"/>
        </w:rPr>
        <w:tab/>
        <w:t xml:space="preserve">S3-2</w:t>
      </w:r>
      <w:r w:rsidDel="00000000" w:rsidR="00000000" w:rsidRPr="00000000">
        <w:rPr>
          <w:rFonts w:ascii="Arial" w:cs="Arial" w:eastAsia="Arial" w:hAnsi="Arial"/>
          <w:b w:val="1"/>
          <w:i w:val="1"/>
          <w:sz w:val="28"/>
          <w:szCs w:val="28"/>
          <w:rtl w:val="0"/>
        </w:rPr>
        <w:t xml:space="preserve">41202</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Rule="auto"/>
        <w:ind w:hanging="2"/>
        <w:rPr>
          <w:rFonts w:ascii="Arial" w:cs="Arial" w:eastAsia="Arial" w:hAnsi="Arial"/>
          <w:sz w:val="24"/>
          <w:szCs w:val="24"/>
        </w:rPr>
      </w:pPr>
      <w:r w:rsidDel="00000000" w:rsidR="00000000" w:rsidRPr="00000000">
        <w:rPr>
          <w:rFonts w:ascii="Arial" w:cs="Arial" w:eastAsia="Arial" w:hAnsi="Arial"/>
          <w:b w:val="1"/>
          <w:sz w:val="24"/>
          <w:szCs w:val="24"/>
          <w:rtl w:val="0"/>
        </w:rPr>
        <w:t xml:space="preserve">15 Apr to 19 Apr 2024 </w:t>
        <w:tab/>
        <w:tab/>
      </w:r>
      <w:r w:rsidDel="00000000" w:rsidR="00000000" w:rsidRPr="00000000">
        <w:rPr>
          <w:rFonts w:ascii="Arial" w:cs="Arial" w:eastAsia="Arial" w:hAnsi="Arial"/>
          <w:color w:val="000000"/>
          <w:sz w:val="24"/>
          <w:szCs w:val="24"/>
          <w:rtl w:val="0"/>
        </w:rPr>
        <w:tab/>
        <w:tab/>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r w:rsidDel="00000000" w:rsidR="00000000" w:rsidRPr="00000000">
        <w:rPr>
          <w:rFonts w:ascii="Arial" w:cs="Arial" w:eastAsia="Arial" w:hAnsi="Arial"/>
          <w:b w:val="1"/>
          <w:color w:val="000000"/>
          <w:sz w:val="24"/>
          <w:szCs w:val="24"/>
          <w:rtl w:val="0"/>
        </w:rPr>
        <w:tab/>
        <w:tab/>
        <w:tab/>
      </w:r>
      <w:r w:rsidDel="00000000" w:rsidR="00000000" w:rsidRPr="00000000">
        <w:rPr>
          <w:rtl w:val="0"/>
        </w:rPr>
      </w:r>
    </w:p>
    <w:p w:rsidR="00000000" w:rsidDel="00000000" w:rsidP="00000000" w:rsidRDefault="00000000" w:rsidRPr="00000000" w14:paraId="00000003">
      <w:pPr>
        <w:keepNext w:val="1"/>
        <w:tabs>
          <w:tab w:val="left" w:leader="none" w:pos="2127"/>
        </w:tabs>
        <w:spacing w:after="0" w:lineRule="auto"/>
        <w:ind w:hanging="2"/>
        <w:rPr/>
      </w:pPr>
      <w:r w:rsidDel="00000000" w:rsidR="00000000" w:rsidRPr="00000000">
        <w:rPr>
          <w:rFonts w:ascii="Arial" w:cs="Arial" w:eastAsia="Arial" w:hAnsi="Arial"/>
          <w:b w:val="1"/>
          <w:rtl w:val="0"/>
        </w:rPr>
        <w:t xml:space="preserve">Source:</w:t>
        <w:tab/>
        <w:t xml:space="preserve">IIT Delhi, IIT Bhilai, IIT Jodhpur, IIT Bombay, Nokia, Nokia Shanghai Bell, DoT</w:t>
      </w:r>
      <w:r w:rsidDel="00000000" w:rsidR="00000000" w:rsidRPr="00000000">
        <w:rPr>
          <w:rtl w:val="0"/>
        </w:rPr>
      </w:r>
    </w:p>
    <w:p w:rsidR="00000000" w:rsidDel="00000000" w:rsidP="00000000" w:rsidRDefault="00000000" w:rsidRPr="00000000" w14:paraId="00000004">
      <w:pPr>
        <w:keepNext w:val="1"/>
        <w:tabs>
          <w:tab w:val="left" w:leader="none" w:pos="2127"/>
        </w:tabs>
        <w:spacing w:after="0" w:lineRule="auto"/>
        <w:ind w:hanging="2"/>
        <w:rPr/>
      </w:pPr>
      <w:r w:rsidDel="00000000" w:rsidR="00000000" w:rsidRPr="00000000">
        <w:rPr>
          <w:rFonts w:ascii="Arial" w:cs="Arial" w:eastAsia="Arial" w:hAnsi="Arial"/>
          <w:b w:val="1"/>
          <w:rtl w:val="0"/>
        </w:rPr>
        <w:t xml:space="preserve">Title:</w:t>
        <w:tab/>
        <w:t xml:space="preserve">Key issue on Security aspects of exposure of user-sensitive information</w:t>
      </w: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hanging="2"/>
        <w:rPr/>
      </w:pPr>
      <w:r w:rsidDel="00000000" w:rsidR="00000000" w:rsidRPr="00000000">
        <w:rPr>
          <w:rFonts w:ascii="Arial" w:cs="Arial" w:eastAsia="Arial" w:hAnsi="Arial"/>
          <w:b w:val="1"/>
          <w:rtl w:val="0"/>
        </w:rPr>
        <w:t xml:space="preserve">Document for:</w:t>
        <w:tab/>
        <w:t xml:space="preserve">Approval</w:t>
      </w:r>
      <w:r w:rsidDel="00000000" w:rsidR="00000000" w:rsidRPr="00000000">
        <w:rPr>
          <w:rtl w:val="0"/>
        </w:rPr>
      </w:r>
    </w:p>
    <w:p w:rsidR="00000000" w:rsidDel="00000000" w:rsidP="00000000" w:rsidRDefault="00000000" w:rsidRPr="00000000" w14:paraId="00000006">
      <w:pPr>
        <w:keepNext w:val="1"/>
        <w:pBdr>
          <w:top w:color="000000" w:space="0" w:sz="0" w:val="none"/>
          <w:left w:color="000000" w:space="0" w:sz="0" w:val="none"/>
          <w:bottom w:color="000000" w:space="1" w:sz="4" w:val="single"/>
          <w:right w:color="000000" w:space="0" w:sz="0" w:val="none"/>
        </w:pBdr>
        <w:tabs>
          <w:tab w:val="left" w:leader="none" w:pos="2127"/>
        </w:tabs>
        <w:spacing w:after="0" w:lineRule="auto"/>
        <w:ind w:hanging="2"/>
        <w:rPr/>
      </w:pPr>
      <w:r w:rsidDel="00000000" w:rsidR="00000000" w:rsidRPr="00000000">
        <w:rPr>
          <w:rFonts w:ascii="Arial" w:cs="Arial" w:eastAsia="Arial" w:hAnsi="Arial"/>
          <w:b w:val="1"/>
          <w:rtl w:val="0"/>
        </w:rPr>
        <w:t xml:space="preserve">Agenda Item:</w:t>
        <w:tab/>
        <w:t xml:space="preserve">5.18</w:t>
      </w:r>
      <w:r w:rsidDel="00000000" w:rsidR="00000000" w:rsidRPr="00000000">
        <w:rPr>
          <w:rtl w:val="0"/>
        </w:rPr>
      </w:r>
    </w:p>
    <w:p w:rsidR="00000000" w:rsidDel="00000000" w:rsidP="00000000" w:rsidRDefault="00000000" w:rsidRPr="00000000" w14:paraId="00000007">
      <w:pPr>
        <w:pStyle w:val="Heading1"/>
        <w:numPr>
          <w:ilvl w:val="0"/>
          <w:numId w:val="1"/>
        </w:numPr>
        <w:ind w:left="2" w:hanging="4"/>
        <w:rPr/>
      </w:pPr>
      <w:r w:rsidDel="00000000" w:rsidR="00000000" w:rsidRPr="00000000">
        <w:rPr>
          <w:rtl w:val="0"/>
        </w:rPr>
        <w:t xml:space="preserve">1</w:t>
        <w:tab/>
        <w:t xml:space="preserve">Decision/action requested</w:t>
      </w:r>
    </w:p>
    <w:p w:rsidR="00000000" w:rsidDel="00000000" w:rsidP="00000000" w:rsidRDefault="00000000" w:rsidRPr="00000000" w14:paraId="00000008">
      <w:pPr>
        <w:pBdr>
          <w:top w:color="000000" w:space="1" w:sz="4" w:val="single"/>
          <w:left w:color="000000" w:space="4" w:sz="4" w:val="single"/>
          <w:bottom w:color="000000" w:space="1" w:sz="4" w:val="single"/>
          <w:right w:color="000000" w:space="4" w:sz="4" w:val="single"/>
        </w:pBdr>
        <w:shd w:fill="ffff99" w:val="clear"/>
        <w:ind w:hanging="2"/>
        <w:jc w:val="center"/>
        <w:rPr/>
      </w:pPr>
      <w:r w:rsidDel="00000000" w:rsidR="00000000" w:rsidRPr="00000000">
        <w:rPr>
          <w:b w:val="1"/>
          <w:i w:val="1"/>
          <w:rtl w:val="0"/>
        </w:rPr>
        <w:t xml:space="preserve">It is proposed to approve this Key issue to study potential solutions.</w:t>
      </w:r>
      <w:r w:rsidDel="00000000" w:rsidR="00000000" w:rsidRPr="00000000">
        <w:rPr>
          <w:rtl w:val="0"/>
        </w:rPr>
      </w:r>
    </w:p>
    <w:p w:rsidR="00000000" w:rsidDel="00000000" w:rsidP="00000000" w:rsidRDefault="00000000" w:rsidRPr="00000000" w14:paraId="00000009">
      <w:pPr>
        <w:pStyle w:val="Heading1"/>
        <w:numPr>
          <w:ilvl w:val="0"/>
          <w:numId w:val="1"/>
        </w:numPr>
        <w:ind w:left="2" w:hanging="4"/>
        <w:rPr/>
      </w:pPr>
      <w:r w:rsidDel="00000000" w:rsidR="00000000" w:rsidRPr="00000000">
        <w:rPr>
          <w:rtl w:val="0"/>
        </w:rPr>
        <w:t xml:space="preserve">2</w:t>
        <w:tab/>
        <w:t xml:space="preserve">References</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851"/>
        </w:tabs>
        <w:ind w:hanging="2"/>
        <w:rPr>
          <w:color w:val="ff0000"/>
        </w:rPr>
      </w:pPr>
      <w:r w:rsidDel="00000000" w:rsidR="00000000" w:rsidRPr="00000000">
        <w:rPr>
          <w:color w:val="ff0000"/>
          <w:rtl w:val="0"/>
        </w:rPr>
        <w:t xml:space="preserve">[1]</w:t>
        <w:tab/>
        <w:t xml:space="preserve">3GPP TR 23.700-21, Study on Application enablement architecture for mobile metaverse services.</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851"/>
        </w:tabs>
        <w:ind w:hanging="2"/>
        <w:rPr>
          <w:color w:val="000000"/>
        </w:rPr>
      </w:pPr>
      <w:r w:rsidDel="00000000" w:rsidR="00000000" w:rsidRPr="00000000">
        <w:rPr>
          <w:color w:val="ff0000"/>
          <w:rtl w:val="0"/>
        </w:rPr>
        <w:t xml:space="preserve">[2]</w:t>
        <w:tab/>
      </w:r>
      <w:r w:rsidDel="00000000" w:rsidR="00000000" w:rsidRPr="00000000">
        <w:rPr>
          <w:rtl w:val="0"/>
        </w:rPr>
      </w:r>
    </w:p>
    <w:p w:rsidR="00000000" w:rsidDel="00000000" w:rsidP="00000000" w:rsidRDefault="00000000" w:rsidRPr="00000000" w14:paraId="0000000C">
      <w:pPr>
        <w:pStyle w:val="Heading1"/>
        <w:numPr>
          <w:ilvl w:val="0"/>
          <w:numId w:val="1"/>
        </w:numPr>
        <w:ind w:left="2" w:hanging="4"/>
        <w:rPr/>
      </w:pPr>
      <w:r w:rsidDel="00000000" w:rsidR="00000000" w:rsidRPr="00000000">
        <w:rPr>
          <w:rtl w:val="0"/>
        </w:rPr>
        <w:t xml:space="preserve">3</w:t>
        <w:tab/>
        <w:t xml:space="preserve">Rationale</w:t>
      </w:r>
    </w:p>
    <w:p w:rsidR="00000000" w:rsidDel="00000000" w:rsidP="00000000" w:rsidRDefault="00000000" w:rsidRPr="00000000" w14:paraId="0000000D">
      <w:pPr>
        <w:ind w:hanging="2"/>
        <w:rPr/>
      </w:pPr>
      <w:r w:rsidDel="00000000" w:rsidR="00000000" w:rsidRPr="00000000">
        <w:rPr>
          <w:rtl w:val="0"/>
        </w:rPr>
        <w:t xml:space="preserve">It is proposed to approve this key issue.</w:t>
      </w:r>
    </w:p>
    <w:p w:rsidR="00000000" w:rsidDel="00000000" w:rsidP="00000000" w:rsidRDefault="00000000" w:rsidRPr="00000000" w14:paraId="0000000E">
      <w:pPr>
        <w:pStyle w:val="Heading1"/>
        <w:numPr>
          <w:ilvl w:val="0"/>
          <w:numId w:val="1"/>
        </w:numPr>
        <w:ind w:left="2" w:hanging="4"/>
        <w:rPr/>
      </w:pPr>
      <w:r w:rsidDel="00000000" w:rsidR="00000000" w:rsidRPr="00000000">
        <w:rPr>
          <w:rtl w:val="0"/>
        </w:rPr>
        <w:t xml:space="preserve">4</w:t>
        <w:tab/>
        <w:t xml:space="preserve">Detailed proposal</w:t>
      </w:r>
    </w:p>
    <w:p w:rsidR="00000000" w:rsidDel="00000000" w:rsidP="00000000" w:rsidRDefault="00000000" w:rsidRPr="00000000" w14:paraId="0000000F">
      <w:pPr>
        <w:ind w:left="2" w:hanging="4"/>
        <w:jc w:val="center"/>
        <w:rPr/>
      </w:pPr>
      <w:r w:rsidDel="00000000" w:rsidR="00000000" w:rsidRPr="00000000">
        <w:rPr>
          <w:color w:val="0070c0"/>
          <w:sz w:val="44"/>
          <w:szCs w:val="44"/>
          <w:rtl w:val="0"/>
        </w:rPr>
        <w:t xml:space="preserve">***</w:t>
        <w:tab/>
        <w:t xml:space="preserve">BEGIN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rtl w:val="0"/>
        </w:rPr>
        <w:t xml:space="preserve"> CHANGE</w:t>
        <w:tab/>
        <w:t xml:space="preserve">***</w:t>
      </w:r>
      <w:r w:rsidDel="00000000" w:rsidR="00000000" w:rsidRPr="00000000">
        <w:rPr>
          <w:rtl w:val="0"/>
        </w:rPr>
      </w:r>
    </w:p>
    <w:p w:rsidR="00000000" w:rsidDel="00000000" w:rsidP="00000000" w:rsidRDefault="00000000" w:rsidRPr="00000000" w14:paraId="00000010">
      <w:pPr>
        <w:ind w:left="2" w:hanging="4"/>
        <w:rPr>
          <w:color w:val="0070c0"/>
          <w:sz w:val="44"/>
          <w:szCs w:val="44"/>
        </w:rPr>
      </w:pPr>
      <w:bookmarkStart w:colFirst="0" w:colLast="0" w:name="_heading=h.gjdgxs" w:id="0"/>
      <w:bookmarkEnd w:id="0"/>
      <w:r w:rsidDel="00000000" w:rsidR="00000000" w:rsidRPr="00000000">
        <w:rPr>
          <w:rtl w:val="0"/>
        </w:rPr>
      </w:r>
    </w:p>
    <w:p w:rsidR="00000000" w:rsidDel="00000000" w:rsidP="00000000" w:rsidRDefault="00000000" w:rsidRPr="00000000" w14:paraId="00000011">
      <w:pPr>
        <w:pStyle w:val="Heading2"/>
        <w:numPr>
          <w:ilvl w:val="1"/>
          <w:numId w:val="1"/>
        </w:numPr>
        <w:ind w:left="1" w:hanging="3"/>
        <w:rPr/>
      </w:pPr>
      <w:bookmarkStart w:colFirst="0" w:colLast="0" w:name="_heading=h.30j0zll" w:id="1"/>
      <w:bookmarkEnd w:id="1"/>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ab/>
        <w:t xml:space="preserve">Key issue #</w:t>
      </w:r>
      <w:r w:rsidDel="00000000" w:rsidR="00000000" w:rsidRPr="00000000">
        <w:rPr>
          <w:highlight w:val="yellow"/>
          <w:rtl w:val="0"/>
        </w:rPr>
        <w:t xml:space="preserve">X</w:t>
      </w:r>
      <w:r w:rsidDel="00000000" w:rsidR="00000000" w:rsidRPr="00000000">
        <w:rPr>
          <w:rtl w:val="0"/>
        </w:rPr>
        <w:t xml:space="preserve">: Security aspects of exposure of user-sensitive information</w:t>
      </w:r>
    </w:p>
    <w:p w:rsidR="00000000" w:rsidDel="00000000" w:rsidP="00000000" w:rsidRDefault="00000000" w:rsidRPr="00000000" w14:paraId="00000012">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.1</w:t>
        <w:tab/>
        <w:t xml:space="preserve">Key issue details </w:t>
      </w:r>
    </w:p>
    <w:p w:rsidR="00000000" w:rsidDel="00000000" w:rsidP="00000000" w:rsidRDefault="00000000" w:rsidRPr="00000000" w14:paraId="00000013">
      <w:pPr>
        <w:ind w:hanging="2"/>
        <w:jc w:val="both"/>
        <w:rPr/>
      </w:pPr>
      <w:r w:rsidDel="00000000" w:rsidR="00000000" w:rsidRPr="00000000">
        <w:rPr>
          <w:rtl w:val="0"/>
        </w:rPr>
        <w:t xml:space="preserve">SA6 has captured the issue of ensuring appropriate user consent for handling sensitive information in clause 4.2 of TR 23.700-21 [1].</w:t>
      </w:r>
    </w:p>
    <w:tbl>
      <w:tblPr>
        <w:tblStyle w:val="Table1"/>
        <w:tblW w:w="8960.0" w:type="dxa"/>
        <w:jc w:val="left"/>
        <w:tblInd w:w="269.0" w:type="dxa"/>
        <w:tblLayout w:type="fixed"/>
        <w:tblLook w:val="0000"/>
      </w:tblPr>
      <w:tblGrid>
        <w:gridCol w:w="8960"/>
        <w:tblGridChange w:id="0">
          <w:tblGrid>
            <w:gridCol w:w="89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ind w:hanging="2"/>
              <w:jc w:val="both"/>
              <w:rPr>
                <w:i w:val="1"/>
              </w:rPr>
            </w:pPr>
            <w:r w:rsidDel="00000000" w:rsidR="00000000" w:rsidRPr="00000000">
              <w:rPr>
                <w:i w:val="1"/>
                <w:rtl w:val="0"/>
              </w:rPr>
              <w:t xml:space="preserve">Aspects of such information might also be obtained through core network capability exposure, e.g., relating to user identity, body movement or location, and reexposed by the enabler layer but not without the consent of the user. </w:t>
            </w:r>
          </w:p>
          <w:p w:rsidR="00000000" w:rsidDel="00000000" w:rsidP="00000000" w:rsidRDefault="00000000" w:rsidRPr="00000000" w14:paraId="00000015">
            <w:pPr>
              <w:ind w:hanging="2"/>
              <w:jc w:val="both"/>
              <w:rPr>
                <w:i w:val="1"/>
              </w:rPr>
            </w:pPr>
            <w:r w:rsidDel="00000000" w:rsidR="00000000" w:rsidRPr="00000000">
              <w:rPr>
                <w:rtl w:val="0"/>
              </w:rPr>
            </w:r>
          </w:p>
          <w:p w:rsidR="00000000" w:rsidDel="00000000" w:rsidP="00000000" w:rsidRDefault="00000000" w:rsidRPr="00000000" w14:paraId="00000016">
            <w:pPr>
              <w:ind w:hanging="2"/>
              <w:jc w:val="both"/>
              <w:rPr>
                <w:i w:val="1"/>
              </w:rPr>
            </w:pPr>
            <w:r w:rsidDel="00000000" w:rsidR="00000000" w:rsidRPr="00000000">
              <w:rPr>
                <w:i w:val="1"/>
                <w:rtl w:val="0"/>
              </w:rPr>
              <w:t xml:space="preserve">NOTE: </w:t>
              <w:tab/>
              <w:t xml:space="preserve">SA6 defined enablers as of now do not consider the usage of user consent in the context of supporting localized mobile metaverse services.</w:t>
            </w:r>
          </w:p>
        </w:tc>
      </w:tr>
    </w:tbl>
    <w:p w:rsidR="00000000" w:rsidDel="00000000" w:rsidP="00000000" w:rsidRDefault="00000000" w:rsidRPr="00000000" w14:paraId="00000017">
      <w:pPr>
        <w:ind w:hanging="2"/>
        <w:jc w:val="both"/>
        <w:rPr/>
      </w:pPr>
      <w:r w:rsidDel="00000000" w:rsidR="00000000" w:rsidRPr="00000000">
        <w:rPr>
          <w:rtl w:val="0"/>
        </w:rPr>
      </w:r>
    </w:p>
    <w:p w:rsidR="00000000" w:rsidDel="00000000" w:rsidP="00000000" w:rsidRDefault="00000000" w:rsidRPr="00000000" w14:paraId="00000018">
      <w:pPr>
        <w:ind w:hanging="2"/>
        <w:jc w:val="both"/>
        <w:rPr/>
      </w:pPr>
      <w:r w:rsidDel="00000000" w:rsidR="00000000" w:rsidRPr="00000000">
        <w:rPr>
          <w:rtl w:val="0"/>
        </w:rPr>
        <w:t xml:space="preserve">Also, ensuring privacy aspects for exposure of user-sensitive information on application enablement for Localized Mobile Metaverse Services is one of the objectives of the present study.</w:t>
      </w:r>
    </w:p>
    <w:p w:rsidR="00000000" w:rsidDel="00000000" w:rsidP="00000000" w:rsidRDefault="00000000" w:rsidRPr="00000000" w14:paraId="00000019">
      <w:pPr>
        <w:ind w:hanging="2"/>
        <w:jc w:val="both"/>
        <w:rPr/>
      </w:pPr>
      <w:r w:rsidDel="00000000" w:rsidR="00000000" w:rsidRPr="00000000">
        <w:rPr>
          <w:rtl w:val="0"/>
        </w:rPr>
        <w:t xml:space="preserve">Exposing user-sensitive information without proper consent and privacy protection can have severe security implications. Some of the key security aspects to consider regarding the exposure of user-sensitive information are data breaches, identity theft, privacy violations, trust and reputation, and regulatory compliance. </w:t>
      </w:r>
    </w:p>
    <w:p w:rsidR="00000000" w:rsidDel="00000000" w:rsidP="00000000" w:rsidRDefault="00000000" w:rsidRPr="00000000" w14:paraId="0000001A">
      <w:pPr>
        <w:ind w:hanging="2"/>
        <w:jc w:val="both"/>
        <w:rPr/>
      </w:pPr>
      <w:r w:rsidDel="00000000" w:rsidR="00000000" w:rsidRPr="00000000">
        <w:rPr>
          <w:rtl w:val="0"/>
        </w:rPr>
        <w:t xml:space="preserve">This key issue is to study how to protect sensitive information in mobile metaverse service exposure and to ensure the appropriate user consent for handling this sensitive information. </w:t>
      </w:r>
    </w:p>
    <w:p w:rsidR="00000000" w:rsidDel="00000000" w:rsidP="00000000" w:rsidRDefault="00000000" w:rsidRPr="00000000" w14:paraId="0000001B">
      <w:pPr>
        <w:ind w:hanging="2"/>
        <w:jc w:val="both"/>
        <w:rPr/>
      </w:pPr>
      <w:r w:rsidDel="00000000" w:rsidR="00000000" w:rsidRPr="00000000">
        <w:rPr>
          <w:rtl w:val="0"/>
        </w:rPr>
      </w:r>
    </w:p>
    <w:p w:rsidR="00000000" w:rsidDel="00000000" w:rsidP="00000000" w:rsidRDefault="00000000" w:rsidRPr="00000000" w14:paraId="0000001C">
      <w:pPr>
        <w:ind w:hanging="2"/>
        <w:jc w:val="both"/>
        <w:rPr/>
      </w:pPr>
      <w:r w:rsidDel="00000000" w:rsidR="00000000" w:rsidRPr="00000000">
        <w:rPr>
          <w:rtl w:val="0"/>
        </w:rPr>
      </w:r>
    </w:p>
    <w:p w:rsidR="00000000" w:rsidDel="00000000" w:rsidP="00000000" w:rsidRDefault="00000000" w:rsidRPr="00000000" w14:paraId="0000001D">
      <w:pPr>
        <w:ind w:hanging="2"/>
        <w:jc w:val="both"/>
        <w:rPr/>
      </w:pPr>
      <w:bookmarkStart w:colFirst="0" w:colLast="0" w:name="_heading=h.1fob9te" w:id="2"/>
      <w:bookmarkEnd w:id="2"/>
      <w:r w:rsidDel="00000000" w:rsidR="00000000" w:rsidRPr="00000000">
        <w:rPr>
          <w:rtl w:val="0"/>
        </w:rPr>
      </w:r>
    </w:p>
    <w:p w:rsidR="00000000" w:rsidDel="00000000" w:rsidP="00000000" w:rsidRDefault="00000000" w:rsidRPr="00000000" w14:paraId="0000001E">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.2</w:t>
        <w:tab/>
        <w:t xml:space="preserve">Security Threats</w:t>
      </w:r>
    </w:p>
    <w:p w:rsidR="00000000" w:rsidDel="00000000" w:rsidP="00000000" w:rsidRDefault="00000000" w:rsidRPr="00000000" w14:paraId="0000001F">
      <w:pPr>
        <w:ind w:hanging="2"/>
        <w:jc w:val="both"/>
        <w:rPr/>
      </w:pPr>
      <w:r w:rsidDel="00000000" w:rsidR="00000000" w:rsidRPr="00000000">
        <w:rPr>
          <w:rtl w:val="0"/>
        </w:rPr>
        <w:t xml:space="preserve">An attacker can avail the user-sensitive information to launch targeted attacks that may cause data breaches, identity theft, etc.</w:t>
      </w:r>
      <w:r w:rsidDel="00000000" w:rsidR="00000000" w:rsidRPr="00000000">
        <w:rPr>
          <w:rtl w:val="0"/>
        </w:rPr>
      </w:r>
    </w:p>
    <w:p w:rsidR="00000000" w:rsidDel="00000000" w:rsidP="00000000" w:rsidRDefault="00000000" w:rsidRPr="00000000" w14:paraId="00000020">
      <w:pPr>
        <w:ind w:hanging="2"/>
        <w:jc w:val="both"/>
        <w:rPr/>
      </w:pPr>
      <w:bookmarkStart w:colFirst="0" w:colLast="0" w:name="_heading=h.3znysh7" w:id="3"/>
      <w:bookmarkEnd w:id="3"/>
      <w:r w:rsidDel="00000000" w:rsidR="00000000" w:rsidRPr="00000000">
        <w:rPr>
          <w:rtl w:val="0"/>
        </w:rPr>
        <w:t xml:space="preserve">Exposure of user-sensitive information can potentially lead to other threats, like privacy violations, trust and reputation, and regulatory incompliance. </w:t>
      </w:r>
    </w:p>
    <w:p w:rsidR="00000000" w:rsidDel="00000000" w:rsidP="00000000" w:rsidRDefault="00000000" w:rsidRPr="00000000" w14:paraId="00000021">
      <w:pPr>
        <w:ind w:hanging="2"/>
        <w:rPr/>
      </w:pPr>
      <w:bookmarkStart w:colFirst="0" w:colLast="0" w:name="_heading=h.2et92p0" w:id="4"/>
      <w:bookmarkEnd w:id="4"/>
      <w:r w:rsidDel="00000000" w:rsidR="00000000" w:rsidRPr="00000000">
        <w:rPr>
          <w:rtl w:val="0"/>
        </w:rPr>
      </w:r>
    </w:p>
    <w:p w:rsidR="00000000" w:rsidDel="00000000" w:rsidP="00000000" w:rsidRDefault="00000000" w:rsidRPr="00000000" w14:paraId="00000022">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.3</w:t>
        <w:tab/>
        <w:t xml:space="preserve">Potential security requirements </w:t>
      </w:r>
    </w:p>
    <w:p w:rsidR="00000000" w:rsidDel="00000000" w:rsidP="00000000" w:rsidRDefault="00000000" w:rsidRPr="00000000" w14:paraId="00000023">
      <w:pPr>
        <w:ind w:hanging="2"/>
        <w:jc w:val="both"/>
        <w:rPr/>
      </w:pPr>
      <w:r w:rsidDel="00000000" w:rsidR="00000000" w:rsidRPr="00000000">
        <w:rPr>
          <w:rtl w:val="0"/>
        </w:rPr>
        <w:t xml:space="preserve">The 5G system shall support a mechanism to ensure the protection of user-sensitive information and ensure the appropriate user consent for handling this sensitive information. </w:t>
      </w:r>
    </w:p>
    <w:p w:rsidR="00000000" w:rsidDel="00000000" w:rsidP="00000000" w:rsidRDefault="00000000" w:rsidRPr="00000000" w14:paraId="00000024">
      <w:pPr>
        <w:ind w:hanging="2"/>
        <w:rPr/>
      </w:pPr>
      <w:r w:rsidDel="00000000" w:rsidR="00000000" w:rsidRPr="00000000">
        <w:rPr>
          <w:rtl w:val="0"/>
        </w:rPr>
      </w:r>
    </w:p>
    <w:p w:rsidR="00000000" w:rsidDel="00000000" w:rsidP="00000000" w:rsidRDefault="00000000" w:rsidRPr="00000000" w14:paraId="00000025">
      <w:pPr>
        <w:ind w:hanging="2"/>
        <w:rPr/>
      </w:pPr>
      <w:r w:rsidDel="00000000" w:rsidR="00000000" w:rsidRPr="00000000">
        <w:rPr>
          <w:rtl w:val="0"/>
        </w:rPr>
      </w:r>
    </w:p>
    <w:p w:rsidR="00000000" w:rsidDel="00000000" w:rsidP="00000000" w:rsidRDefault="00000000" w:rsidRPr="00000000" w14:paraId="00000026">
      <w:pPr>
        <w:ind w:left="2" w:hanging="4"/>
        <w:jc w:val="center"/>
        <w:rPr/>
      </w:pPr>
      <w:r w:rsidDel="00000000" w:rsidR="00000000" w:rsidRPr="00000000">
        <w:rPr>
          <w:color w:val="0070c0"/>
          <w:sz w:val="44"/>
          <w:szCs w:val="44"/>
          <w:rtl w:val="0"/>
        </w:rPr>
        <w:t xml:space="preserve">***</w:t>
        <w:tab/>
        <w:t xml:space="preserve">END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rtl w:val="0"/>
        </w:rPr>
        <w:t xml:space="preserve"> CHANGE</w:t>
        <w:tab/>
        <w:t xml:space="preserve">***</w:t>
      </w:r>
      <w:r w:rsidDel="00000000" w:rsidR="00000000" w:rsidRPr="00000000">
        <w:rPr>
          <w:rtl w:val="0"/>
        </w:rPr>
      </w:r>
    </w:p>
    <w:p w:rsidR="00000000" w:rsidDel="00000000" w:rsidP="00000000" w:rsidRDefault="00000000" w:rsidRPr="00000000" w14:paraId="00000027">
      <w:pPr>
        <w:ind w:left="2" w:hanging="4"/>
        <w:rPr>
          <w:color w:val="0070c0"/>
          <w:sz w:val="44"/>
          <w:szCs w:val="44"/>
        </w:rPr>
      </w:pPr>
      <w:r w:rsidDel="00000000" w:rsidR="00000000" w:rsidRPr="00000000">
        <w:rPr>
          <w:rtl w:val="0"/>
        </w:rPr>
      </w:r>
    </w:p>
    <w:sectPr>
      <w:pgSz w:h="16838" w:w="11906" w:orient="portrait"/>
      <w:pgMar w:bottom="567" w:top="567"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color="000000" w:space="0" w:sz="0" w:val="none"/>
        <w:bottom w:color="000000" w:space="0" w:sz="0" w:val="none"/>
        <w:right w:color="000000" w:space="0" w:sz="0" w:val="none"/>
        <w:between w:space="0" w:sz="0" w:val="nil"/>
      </w:pBdr>
      <w:spacing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418"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701" w:hanging="1701"/>
    </w:pPr>
    <w:rPr>
      <w:rFonts w:ascii="Arial" w:cs="Arial" w:eastAsia="Arial" w:hAnsi="Arial"/>
      <w:color w:val="000000"/>
      <w:sz w:val="22"/>
      <w:szCs w:val="22"/>
    </w:rPr>
  </w:style>
  <w:style w:type="paragraph" w:styleId="Heading6">
    <w:name w:val="heading 6"/>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985" w:hanging="1985"/>
    </w:pPr>
    <w:rPr>
      <w:rFonts w:ascii="Arial" w:cs="Arial" w:eastAsia="Arial" w:hAnsi="Arial"/>
      <w:color w:val="00000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color="000000" w:space="0" w:sz="0" w:val="none"/>
        <w:bottom w:color="000000" w:space="0" w:sz="0" w:val="none"/>
        <w:right w:color="000000" w:space="0" w:sz="0" w:val="none"/>
        <w:between w:space="0" w:sz="0" w:val="nil"/>
      </w:pBdr>
      <w:spacing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418"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701" w:hanging="1701"/>
    </w:pPr>
    <w:rPr>
      <w:rFonts w:ascii="Arial" w:cs="Arial" w:eastAsia="Arial" w:hAnsi="Arial"/>
      <w:color w:val="000000"/>
      <w:sz w:val="22"/>
      <w:szCs w:val="22"/>
    </w:rPr>
  </w:style>
  <w:style w:type="paragraph" w:styleId="Heading6">
    <w:name w:val="heading 6"/>
    <w:basedOn w:val="Normal"/>
    <w:next w:val="Normal"/>
    <w:pPr>
      <w:keepNext w:val="1"/>
      <w:keepLines w:val="1"/>
      <w:pBdr>
        <w:top w:color="000000" w:space="0" w:sz="0" w:val="none"/>
        <w:left w:color="000000" w:space="0" w:sz="0" w:val="none"/>
        <w:bottom w:color="000000" w:space="0" w:sz="0" w:val="none"/>
        <w:right w:color="000000" w:space="0" w:sz="0" w:val="none"/>
        <w:between w:space="0" w:sz="0" w:val="nil"/>
      </w:pBdr>
      <w:spacing w:before="120" w:lineRule="auto"/>
      <w:ind w:left="1985" w:hanging="1985"/>
    </w:pPr>
    <w:rPr>
      <w:rFonts w:ascii="Arial" w:cs="Arial" w:eastAsia="Arial" w:hAnsi="Arial"/>
      <w:color w:val="00000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color="000000" w:space="3" w:sz="12" w:val="single"/>
        <w:left w:color="000000" w:space="0" w:sz="0" w:val="none"/>
        <w:bottom w:color="000000" w:space="0" w:sz="0" w:val="none"/>
        <w:right w:color="000000" w:space="0" w:sz="0" w:val="none"/>
        <w:between w:space="0" w:sz="0" w:val="nil"/>
      </w:pBdr>
      <w:spacing w:before="240"/>
      <w:ind w:left="1134" w:hanging="1134"/>
      <w:outlineLvl w:val="0"/>
    </w:pPr>
    <w:rPr>
      <w:rFonts w:ascii="Arial" w:cs="Arial" w:eastAsia="Arial" w:hAnsi="Arial"/>
      <w:color w:val="000000"/>
      <w:sz w:val="36"/>
      <w:szCs w:val="36"/>
    </w:rPr>
  </w:style>
  <w:style w:type="paragraph" w:styleId="Heading2">
    <w:name w:val="heading 2"/>
    <w:basedOn w:val="Normal"/>
    <w:next w:val="Normal"/>
    <w:uiPriority w:val="9"/>
    <w:unhideWhenUsed w:val="1"/>
    <w:qFormat w:val="1"/>
    <w:pPr>
      <w:keepNext w:val="1"/>
      <w:keepLines w:val="1"/>
      <w:pBdr>
        <w:top w:color="000000" w:space="0" w:sz="0" w:val="none"/>
        <w:left w:color="000000" w:space="0" w:sz="0" w:val="none"/>
        <w:bottom w:color="000000" w:space="0" w:sz="0" w:val="none"/>
        <w:right w:color="000000" w:space="0" w:sz="0" w:val="none"/>
        <w:between w:space="0" w:sz="0" w:val="nil"/>
      </w:pBdr>
      <w:spacing w:before="180"/>
      <w:ind w:left="1134" w:hanging="1134"/>
      <w:outlineLvl w:val="1"/>
    </w:pPr>
    <w:rPr>
      <w:rFonts w:ascii="Arial" w:cs="Arial" w:eastAsia="Arial" w:hAnsi="Arial"/>
      <w:color w:val="000000"/>
      <w:sz w:val="32"/>
      <w:szCs w:val="32"/>
    </w:rPr>
  </w:style>
  <w:style w:type="paragraph" w:styleId="Heading3">
    <w:name w:val="heading 3"/>
    <w:basedOn w:val="Normal"/>
    <w:next w:val="Normal"/>
    <w:uiPriority w:val="9"/>
    <w:unhideWhenUsed w:val="1"/>
    <w:qFormat w:val="1"/>
    <w:pPr>
      <w:keepNext w:val="1"/>
      <w:keepLines w:val="1"/>
      <w:pBdr>
        <w:top w:color="000000" w:space="0" w:sz="0" w:val="none"/>
        <w:left w:color="000000" w:space="0" w:sz="0" w:val="none"/>
        <w:bottom w:color="000000" w:space="0" w:sz="0" w:val="none"/>
        <w:right w:color="000000" w:space="0" w:sz="0" w:val="none"/>
        <w:between w:space="0" w:sz="0" w:val="nil"/>
      </w:pBdr>
      <w:spacing w:before="120"/>
      <w:ind w:left="1134" w:hanging="1134"/>
      <w:outlineLvl w:val="2"/>
    </w:pPr>
    <w:rPr>
      <w:rFonts w:ascii="Arial" w:cs="Arial" w:eastAsia="Arial" w:hAnsi="Arial"/>
      <w:color w:val="000000"/>
      <w:sz w:val="28"/>
      <w:szCs w:val="28"/>
    </w:rPr>
  </w:style>
  <w:style w:type="paragraph" w:styleId="Heading4">
    <w:name w:val="heading 4"/>
    <w:basedOn w:val="Normal"/>
    <w:next w:val="Normal"/>
    <w:uiPriority w:val="9"/>
    <w:semiHidden w:val="1"/>
    <w:unhideWhenUsed w:val="1"/>
    <w:qFormat w:val="1"/>
    <w:pPr>
      <w:keepNext w:val="1"/>
      <w:keepLines w:val="1"/>
      <w:pBdr>
        <w:top w:color="000000" w:space="0" w:sz="0" w:val="none"/>
        <w:left w:color="000000" w:space="0" w:sz="0" w:val="none"/>
        <w:bottom w:color="000000" w:space="0" w:sz="0" w:val="none"/>
        <w:right w:color="000000" w:space="0" w:sz="0" w:val="none"/>
        <w:between w:space="0" w:sz="0" w:val="nil"/>
      </w:pBdr>
      <w:spacing w:before="120"/>
      <w:ind w:left="1418" w:hanging="1418"/>
      <w:outlineLvl w:val="3"/>
    </w:pPr>
    <w:rPr>
      <w:rFonts w:ascii="Arial" w:cs="Arial" w:eastAsia="Arial" w:hAnsi="Arial"/>
      <w:color w:val="000000"/>
      <w:sz w:val="24"/>
      <w:szCs w:val="24"/>
    </w:rPr>
  </w:style>
  <w:style w:type="paragraph" w:styleId="Heading5">
    <w:name w:val="heading 5"/>
    <w:basedOn w:val="Normal"/>
    <w:next w:val="Normal"/>
    <w:uiPriority w:val="9"/>
    <w:semiHidden w:val="1"/>
    <w:unhideWhenUsed w:val="1"/>
    <w:qFormat w:val="1"/>
    <w:pPr>
      <w:keepNext w:val="1"/>
      <w:keepLines w:val="1"/>
      <w:pBdr>
        <w:top w:color="000000" w:space="0" w:sz="0" w:val="none"/>
        <w:left w:color="000000" w:space="0" w:sz="0" w:val="none"/>
        <w:bottom w:color="000000" w:space="0" w:sz="0" w:val="none"/>
        <w:right w:color="000000" w:space="0" w:sz="0" w:val="none"/>
        <w:between w:space="0" w:sz="0" w:val="nil"/>
      </w:pBdr>
      <w:spacing w:before="120"/>
      <w:ind w:left="1701" w:hanging="1701"/>
      <w:outlineLvl w:val="4"/>
    </w:pPr>
    <w:rPr>
      <w:rFonts w:ascii="Arial" w:cs="Arial" w:eastAsia="Arial" w:hAnsi="Arial"/>
      <w:color w:val="000000"/>
      <w:sz w:val="22"/>
      <w:szCs w:val="22"/>
    </w:rPr>
  </w:style>
  <w:style w:type="paragraph" w:styleId="Heading6">
    <w:name w:val="heading 6"/>
    <w:basedOn w:val="Normal"/>
    <w:next w:val="Normal"/>
    <w:uiPriority w:val="9"/>
    <w:semiHidden w:val="1"/>
    <w:unhideWhenUsed w:val="1"/>
    <w:qFormat w:val="1"/>
    <w:pPr>
      <w:keepNext w:val="1"/>
      <w:keepLines w:val="1"/>
      <w:pBdr>
        <w:top w:color="000000" w:space="0" w:sz="0" w:val="none"/>
        <w:left w:color="000000" w:space="0" w:sz="0" w:val="none"/>
        <w:bottom w:color="000000" w:space="0" w:sz="0" w:val="none"/>
        <w:right w:color="000000" w:space="0" w:sz="0" w:val="none"/>
        <w:between w:space="0" w:sz="0" w:val="nil"/>
      </w:pBdr>
      <w:spacing w:before="120"/>
      <w:ind w:left="1985" w:hanging="1985"/>
      <w:outlineLvl w:val="5"/>
    </w:pPr>
    <w:rPr>
      <w:rFonts w:ascii="Arial" w:cs="Arial" w:eastAsia="Arial" w:hAnsi="Arial"/>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spacing w:after="60"/>
      <w:jc w:val="center"/>
    </w:pPr>
    <w:rPr>
      <w:rFonts w:ascii="Calibri" w:cs="Calibri" w:eastAsia="Calibri" w:hAnsi="Calibri"/>
      <w:sz w:val="24"/>
      <w:szCs w:val="24"/>
    </w:rPr>
  </w:style>
  <w:style w:type="table" w:styleId="a" w:customStyle="1">
    <w:basedOn w:val="TableNormal"/>
    <w:tblPr>
      <w:tblStyleRowBandSize w:val="1"/>
      <w:tblStyleColBandSize w:val="1"/>
    </w:tblPr>
  </w:style>
  <w:style w:type="paragraph" w:styleId="Revision">
    <w:name w:val="Revision"/>
    <w:hidden w:val="1"/>
    <w:uiPriority w:val="99"/>
    <w:semiHidden w:val="1"/>
    <w:rsid w:val="007A04A8"/>
    <w:pPr>
      <w:spacing w:after="0"/>
      <w:ind w:firstLine="0"/>
    </w:pPr>
  </w:style>
  <w:style w:type="character" w:styleId="CommentReference">
    <w:name w:val="annotation reference"/>
    <w:basedOn w:val="DefaultParagraphFont"/>
    <w:uiPriority w:val="99"/>
    <w:semiHidden w:val="1"/>
    <w:unhideWhenUsed w:val="1"/>
    <w:rsid w:val="00E60A4B"/>
    <w:rPr>
      <w:sz w:val="16"/>
      <w:szCs w:val="16"/>
    </w:rPr>
  </w:style>
  <w:style w:type="paragraph" w:styleId="CommentText">
    <w:name w:val="annotation text"/>
    <w:basedOn w:val="Normal"/>
    <w:link w:val="CommentTextChar"/>
    <w:uiPriority w:val="99"/>
    <w:unhideWhenUsed w:val="1"/>
    <w:rsid w:val="00E60A4B"/>
  </w:style>
  <w:style w:type="character" w:styleId="CommentTextChar" w:customStyle="1">
    <w:name w:val="Comment Text Char"/>
    <w:basedOn w:val="DefaultParagraphFont"/>
    <w:link w:val="CommentText"/>
    <w:uiPriority w:val="99"/>
    <w:rsid w:val="00E60A4B"/>
  </w:style>
  <w:style w:type="paragraph" w:styleId="CommentSubject">
    <w:name w:val="annotation subject"/>
    <w:basedOn w:val="CommentText"/>
    <w:next w:val="CommentText"/>
    <w:link w:val="CommentSubjectChar"/>
    <w:uiPriority w:val="99"/>
    <w:semiHidden w:val="1"/>
    <w:unhideWhenUsed w:val="1"/>
    <w:rsid w:val="00E60A4B"/>
    <w:rPr>
      <w:b w:val="1"/>
      <w:bCs w:val="1"/>
    </w:rPr>
  </w:style>
  <w:style w:type="character" w:styleId="CommentSubjectChar" w:customStyle="1">
    <w:name w:val="Comment Subject Char"/>
    <w:basedOn w:val="CommentTextChar"/>
    <w:link w:val="CommentSubject"/>
    <w:uiPriority w:val="99"/>
    <w:semiHidden w:val="1"/>
    <w:rsid w:val="00E60A4B"/>
    <w:rPr>
      <w:b w:val="1"/>
      <w:bCs w:val="1"/>
    </w:rPr>
  </w:style>
  <w:style w:type="paragraph" w:styleId="Subtitle">
    <w:name w:val="Subtitle"/>
    <w:basedOn w:val="Normal"/>
    <w:next w:val="Normal"/>
    <w:pPr>
      <w:spacing w:after="60" w:lineRule="auto"/>
      <w:jc w:val="center"/>
    </w:pPr>
    <w:rPr>
      <w:rFonts w:ascii="Calibri" w:cs="Calibri" w:eastAsia="Calibri" w:hAnsi="Calibri"/>
      <w:sz w:val="24"/>
      <w:szCs w:val="24"/>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Rule="auto"/>
      <w:jc w:val="center"/>
    </w:pPr>
    <w:rPr>
      <w:rFonts w:ascii="Calibri" w:cs="Calibri" w:eastAsia="Calibri" w:hAnsi="Calibri"/>
      <w:sz w:val="24"/>
      <w:szCs w:val="24"/>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qQ4kd+BT4QkBssIKw9XEGRt5A==">CgMxLjAyCGguZ2pkZ3hzMgloLjMwajB6bGwyCWguMWZvYjl0ZTIJaC4zem55c2g3MgloLjJldDkycDA4AGpHCjZzdWdnZXN0SWRJbXBvcnQwNzYzYzM2My1kOTk5LTQwYjYtYjMyNS0xYmNjNGYwMWQwMTZfMzASDW5va2lhLXVzZXItMzFqRgo1c3VnZ2VzdElkSW1wb3J0MDc2M2MzNjMtZDk5OS00MGI2LWIzMjUtMWJjYzRmMDFkMDE2XzgSDW5va2lhLXVzZXItMzFqRwo2c3VnZ2VzdElkSW1wb3J0MDc2M2MzNjMtZDk5OS00MGI2LWIzMjUtMWJjYzRmMDFkMDE2XzI1Eg1ub2tpYS11c2VyLTMxakcKNnN1Z2dlc3RJZEltcG9ydDA3NjNjMzYzLWQ5OTktNDBiNi1iMzI1LTFiY2M0ZjAxZDAxNl8zMRINbm9raWEtdXNlci0zMWpHCjZzdWdnZXN0SWRJbXBvcnQwNzYzYzM2My1kOTk5LTQwYjYtYjMyNS0xYmNjNGYwMWQwMTZfMTESDW5va2lhLXVzZXItMzFqRwo2c3VnZ2VzdElkSW1wb3J0MDc2M2MzNjMtZDk5OS00MGI2LWIzMjUtMWJjYzRmMDFkMDE2XzI5Eg1ub2tpYS11c2VyLTMxakcKNnN1Z2dlc3RJZEltcG9ydDA3NjNjMzYzLWQ5OTktNDBiNi1iMzI1LTFiY2M0ZjAxZDAxNl8yMBINbm9raWEtdXNlci0zMWpGCjVzdWdnZXN0SWRJbXBvcnQwNzYzYzM2My1kOTk5LTQwYjYtYjMyNS0xYmNjNGYwMWQwMTZfMhINbm9raWEtdXNlci0zMWpGCjVzdWdnZXN0SWRJbXBvcnQwNzYzYzM2My1kOTk5LTQwYjYtYjMyNS0xYmNjNGYwMWQwMTZfMRINbm9raWEtdXNlci0zMWpGCjVzdWdnZXN0SWRJbXBvcnQwNzYzYzM2My1kOTk5LTQwYjYtYjMyNS0xYmNjNGYwMWQwMTZfORINbm9raWEtdXNlci0zMWpHCjZzdWdnZXN0SWRJbXBvcnQwNzYzYzM2My1kOTk5LTQwYjYtYjMyNS0xYmNjNGYwMWQwMTZfMjESDW5va2lhLXVzZXItMzFqRwo2c3VnZ2VzdElkSW1wb3J0MDc2M2MzNjMtZDk5OS00MGI2LWIzMjUtMWJjYzRmMDFkMDE2XzI2Eg1ub2tpYS11c2VyLTMxciExVm9mTHJEak43TnVWRUpFM2ZGbEVSNHpVWG9HNzVYU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2024-04-08T01:24:00Z</dcterms:created>
</cp:coreProperties>
</file>